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C5" w:rsidRPr="00A62CC5" w:rsidRDefault="00A62CC5" w:rsidP="00A62CC5">
      <w:pPr>
        <w:shd w:val="clear" w:color="auto" w:fill="FFFFFF"/>
        <w:spacing w:after="225" w:line="240" w:lineRule="atLeast"/>
        <w:outlineLvl w:val="0"/>
        <w:rPr>
          <w:rFonts w:ascii="Arial" w:eastAsia="Times New Roman" w:hAnsi="Arial" w:cs="Arial"/>
          <w:kern w:val="36"/>
          <w:sz w:val="27"/>
          <w:szCs w:val="27"/>
          <w:lang w:val="uk-UA" w:eastAsia="ru-RU"/>
        </w:rPr>
      </w:pPr>
      <w:bookmarkStart w:id="0" w:name="_GoBack"/>
      <w:r w:rsidRPr="00A62CC5">
        <w:rPr>
          <w:rFonts w:ascii="Arial" w:eastAsia="Times New Roman" w:hAnsi="Arial" w:cs="Arial"/>
          <w:kern w:val="36"/>
          <w:sz w:val="27"/>
          <w:szCs w:val="27"/>
          <w:lang w:val="uk-UA" w:eastAsia="ru-RU"/>
        </w:rPr>
        <w:t>Деякі питання підвищення кваліфікації педагогічних і науково-педагогічних працівників</w:t>
      </w:r>
    </w:p>
    <w:bookmarkEnd w:id="0"/>
    <w:p w:rsidR="00A62CC5" w:rsidRPr="00A62CC5" w:rsidRDefault="00A62CC5" w:rsidP="00A62CC5">
      <w:pPr>
        <w:shd w:val="clear" w:color="auto" w:fill="FFFFFF"/>
        <w:spacing w:after="225" w:line="270" w:lineRule="atLeast"/>
        <w:outlineLvl w:val="2"/>
        <w:rPr>
          <w:rFonts w:ascii="Arial" w:eastAsia="Times New Roman" w:hAnsi="Arial" w:cs="Arial"/>
          <w:b/>
          <w:bCs/>
          <w:i/>
          <w:iCs/>
          <w:sz w:val="21"/>
          <w:szCs w:val="21"/>
          <w:lang w:val="uk-UA" w:eastAsia="ru-RU"/>
        </w:rPr>
      </w:pPr>
      <w:r w:rsidRPr="00A62CC5">
        <w:rPr>
          <w:rFonts w:ascii="Arial" w:eastAsia="Times New Roman" w:hAnsi="Arial" w:cs="Arial"/>
          <w:b/>
          <w:bCs/>
          <w:i/>
          <w:iCs/>
          <w:sz w:val="21"/>
          <w:szCs w:val="21"/>
          <w:lang w:val="uk-UA" w:eastAsia="ru-RU"/>
        </w:rPr>
        <w:t>Постанова КМУ № 800 від 21.08.2019 року</w:t>
      </w:r>
    </w:p>
    <w:p w:rsidR="00A62CC5" w:rsidRPr="00A62CC5" w:rsidRDefault="00A62CC5" w:rsidP="00A62CC5">
      <w:pPr>
        <w:shd w:val="clear" w:color="auto" w:fill="FFFFFF"/>
        <w:spacing w:after="210" w:line="240" w:lineRule="auto"/>
        <w:jc w:val="center"/>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КАБІНЕТ МІНІСТРІВ УКРАЇНИ</w:t>
      </w:r>
    </w:p>
    <w:p w:rsidR="00A62CC5" w:rsidRPr="00A62CC5" w:rsidRDefault="00A62CC5" w:rsidP="00A62CC5">
      <w:pPr>
        <w:shd w:val="clear" w:color="auto" w:fill="FFFFFF"/>
        <w:spacing w:after="210" w:line="240" w:lineRule="auto"/>
        <w:jc w:val="center"/>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ПОСТАНОВА</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 800 від 21 серпня 2019 року</w:t>
      </w:r>
    </w:p>
    <w:p w:rsidR="00A62CC5" w:rsidRPr="00A62CC5" w:rsidRDefault="00A62CC5" w:rsidP="00A62CC5">
      <w:pPr>
        <w:shd w:val="clear" w:color="auto" w:fill="FFFFFF"/>
        <w:spacing w:line="240" w:lineRule="auto"/>
        <w:jc w:val="both"/>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Деякі питання підвищення кваліфікації</w:t>
      </w:r>
      <w:r w:rsidRPr="00A62CC5">
        <w:rPr>
          <w:rFonts w:ascii="Arial" w:eastAsia="Times New Roman" w:hAnsi="Arial" w:cs="Arial"/>
          <w:b/>
          <w:bCs/>
          <w:sz w:val="21"/>
          <w:szCs w:val="21"/>
          <w:bdr w:val="none" w:sz="0" w:space="0" w:color="auto" w:frame="1"/>
          <w:lang w:val="uk-UA" w:eastAsia="ru-RU"/>
        </w:rPr>
        <w:br/>
        <w:t>педагогічних і науково-педагогічних працівників</w:t>
      </w:r>
    </w:p>
    <w:p w:rsidR="00A62CC5" w:rsidRPr="00A62CC5" w:rsidRDefault="00A62CC5" w:rsidP="00A62CC5">
      <w:pPr>
        <w:shd w:val="clear" w:color="auto" w:fill="FFFFFF"/>
        <w:spacing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Відповідно до частини шостої статті 59 </w:t>
      </w:r>
      <w:hyperlink r:id="rId5" w:history="1">
        <w:r w:rsidRPr="00A62CC5">
          <w:rPr>
            <w:rFonts w:ascii="Arial" w:eastAsia="Times New Roman" w:hAnsi="Arial" w:cs="Arial"/>
            <w:color w:val="8C8282"/>
            <w:sz w:val="21"/>
            <w:szCs w:val="21"/>
            <w:bdr w:val="none" w:sz="0" w:space="0" w:color="auto" w:frame="1"/>
            <w:lang w:val="uk-UA" w:eastAsia="ru-RU"/>
          </w:rPr>
          <w:t>Закону України “Про освіту”</w:t>
        </w:r>
      </w:hyperlink>
      <w:r w:rsidRPr="00A62CC5">
        <w:rPr>
          <w:rFonts w:ascii="Arial" w:eastAsia="Times New Roman" w:hAnsi="Arial" w:cs="Arial"/>
          <w:sz w:val="21"/>
          <w:szCs w:val="21"/>
          <w:lang w:val="uk-UA" w:eastAsia="ru-RU"/>
        </w:rPr>
        <w:t> Кабінет Міністрів України постановляє:</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 Затвердити Порядок підвищення кваліфікації педагогічних і науково-педагогічних працівників, що додається.</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 Внести до 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 Ця постанова набирає чинності з дня її опублікування, крім пункту 17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Прем’єр-міністр України               </w:t>
      </w:r>
      <w:r>
        <w:rPr>
          <w:rFonts w:ascii="Arial" w:eastAsia="Times New Roman" w:hAnsi="Arial" w:cs="Arial"/>
          <w:sz w:val="21"/>
          <w:szCs w:val="21"/>
          <w:lang w:val="uk-UA" w:eastAsia="ru-RU"/>
        </w:rPr>
        <w:t xml:space="preserve">                                                                                </w:t>
      </w:r>
      <w:r w:rsidRPr="00A62CC5">
        <w:rPr>
          <w:rFonts w:ascii="Arial" w:eastAsia="Times New Roman" w:hAnsi="Arial" w:cs="Arial"/>
          <w:sz w:val="21"/>
          <w:szCs w:val="21"/>
          <w:lang w:val="uk-UA" w:eastAsia="ru-RU"/>
        </w:rPr>
        <w:t>               В. Гройсман</w:t>
      </w:r>
    </w:p>
    <w:p w:rsidR="00A62CC5" w:rsidRPr="00A62CC5" w:rsidRDefault="00A62CC5" w:rsidP="00A62CC5">
      <w:pPr>
        <w:shd w:val="clear" w:color="auto" w:fill="FFFFFF"/>
        <w:spacing w:line="240" w:lineRule="auto"/>
        <w:jc w:val="right"/>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ЗАТВЕРДЖЕНО</w:t>
      </w:r>
      <w:r w:rsidRPr="00A62CC5">
        <w:rPr>
          <w:rFonts w:ascii="Arial" w:eastAsia="Times New Roman" w:hAnsi="Arial" w:cs="Arial"/>
          <w:sz w:val="21"/>
          <w:szCs w:val="21"/>
          <w:lang w:val="uk-UA" w:eastAsia="ru-RU"/>
        </w:rPr>
        <w:br/>
        <w:t>постановою Кабінету Міністрів України</w:t>
      </w:r>
      <w:r w:rsidRPr="00A62CC5">
        <w:rPr>
          <w:rFonts w:ascii="Arial" w:eastAsia="Times New Roman" w:hAnsi="Arial" w:cs="Arial"/>
          <w:sz w:val="21"/>
          <w:szCs w:val="21"/>
          <w:lang w:val="uk-UA" w:eastAsia="ru-RU"/>
        </w:rPr>
        <w:br/>
        <w:t>від 21 серпня 2019 р. № 800</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ПОРЯДОК</w:t>
      </w:r>
      <w:r w:rsidRPr="00A62CC5">
        <w:rPr>
          <w:rFonts w:ascii="Arial" w:eastAsia="Times New Roman" w:hAnsi="Arial" w:cs="Arial"/>
          <w:b/>
          <w:bCs/>
          <w:sz w:val="21"/>
          <w:szCs w:val="21"/>
          <w:bdr w:val="none" w:sz="0" w:space="0" w:color="auto" w:frame="1"/>
          <w:lang w:val="uk-UA" w:eastAsia="ru-RU"/>
        </w:rPr>
        <w:br/>
        <w:t>підвищення кваліфікації педагогічних і науково-педагогічних працівників</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Загальна частина</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A62CC5" w:rsidRPr="00A62CC5" w:rsidRDefault="00A62CC5" w:rsidP="00A62CC5">
      <w:pPr>
        <w:numPr>
          <w:ilvl w:val="0"/>
          <w:numId w:val="2"/>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приватних і корпоративних закладах освіти — їх засновниками або уповноваженими ними органами;</w:t>
      </w:r>
    </w:p>
    <w:p w:rsidR="00A62CC5" w:rsidRPr="00A62CC5" w:rsidRDefault="00A62CC5" w:rsidP="00A62CC5">
      <w:pPr>
        <w:numPr>
          <w:ilvl w:val="0"/>
          <w:numId w:val="2"/>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 Педагогічні і науково-педагогічні працівники зобов’язані постійно підвищувати свою кваліфікацію.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Для забезпечення підвищення кваліфікації педагогічних і науково-педагогічних працівників необхідно виконати завдання з:</w:t>
      </w:r>
    </w:p>
    <w:p w:rsidR="00A62CC5" w:rsidRPr="00A62CC5" w:rsidRDefault="00A62CC5" w:rsidP="00A62CC5">
      <w:pPr>
        <w:numPr>
          <w:ilvl w:val="0"/>
          <w:numId w:val="3"/>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lastRenderedPageBreak/>
        <w:t>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A62CC5" w:rsidRPr="00A62CC5" w:rsidRDefault="00A62CC5" w:rsidP="00A62CC5">
      <w:pPr>
        <w:numPr>
          <w:ilvl w:val="0"/>
          <w:numId w:val="3"/>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набуття особою досвіду виконання додаткових завдань та обов’язків у межах спеціальності та/або професії, та/або займаної посади;</w:t>
      </w:r>
    </w:p>
    <w:p w:rsidR="00A62CC5" w:rsidRPr="00A62CC5" w:rsidRDefault="00A62CC5" w:rsidP="00A62CC5">
      <w:pPr>
        <w:numPr>
          <w:ilvl w:val="0"/>
          <w:numId w:val="3"/>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формування та розвитку цифрової, управлінської, комунікаційної, медійної, інклюзивної, мовленнєвої компетентностей тощо.</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6. Педагогічні і науково-педагогічні працівники можуть підвищувати кваліфікацію за різними формами, видами.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Основними видами підвищення кваліфікації є:</w:t>
      </w:r>
    </w:p>
    <w:p w:rsidR="00A62CC5" w:rsidRPr="00A62CC5" w:rsidRDefault="00A62CC5" w:rsidP="00A62CC5">
      <w:pPr>
        <w:numPr>
          <w:ilvl w:val="0"/>
          <w:numId w:val="4"/>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навчання за програмою підвищення кваліфікації;</w:t>
      </w:r>
    </w:p>
    <w:p w:rsidR="00A62CC5" w:rsidRPr="00A62CC5" w:rsidRDefault="00A62CC5" w:rsidP="00A62CC5">
      <w:pPr>
        <w:numPr>
          <w:ilvl w:val="0"/>
          <w:numId w:val="4"/>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стажування;</w:t>
      </w:r>
    </w:p>
    <w:p w:rsidR="00A62CC5" w:rsidRPr="00A62CC5" w:rsidRDefault="00A62CC5" w:rsidP="00A62CC5">
      <w:pPr>
        <w:numPr>
          <w:ilvl w:val="0"/>
          <w:numId w:val="4"/>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участь у семінарах, практикумах, тренінгах, вебінарах, майстер-класах тощо.</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Окремі види діяльності педагогічних та науково-педагогічних працівників, зазначені у пункті 26 цього Порядку, можуть бути визнані як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Педагогічні та науково-педагогічні працівники можуть підвищувати кваліфікацію у різних суб’єктів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 xml:space="preserve">10. Програма підвищення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w:t>
      </w:r>
      <w:r w:rsidRPr="00A62CC5">
        <w:rPr>
          <w:rFonts w:ascii="Arial" w:eastAsia="Times New Roman" w:hAnsi="Arial" w:cs="Arial"/>
          <w:sz w:val="21"/>
          <w:szCs w:val="21"/>
          <w:lang w:val="uk-UA" w:eastAsia="ru-RU"/>
        </w:rPr>
        <w:lastRenderedPageBreak/>
        <w:t>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Суб’єкт підвищення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Порядок, критерії відбору та умови оприлюднення програм підвищення кваліфікації затверджуються МОН.</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11. Стажування здійснюється за індивідуальною програмою, що розробляється і затверджується суб’єктом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lastRenderedPageBreak/>
        <w:t>Один день стажування оцінюється у 6 годин або 0,3 кредиту ЄКТС.</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12. Підвищення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Перелік виданих документів про підвищення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A62CC5" w:rsidRPr="00A62CC5" w:rsidRDefault="00A62CC5" w:rsidP="00A62CC5">
      <w:pPr>
        <w:numPr>
          <w:ilvl w:val="0"/>
          <w:numId w:val="5"/>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прізвище та ініціали (ініціал імені) педагогічного або науково-педагогічного працівника, який пройшов підвищення кваліфікації;</w:t>
      </w:r>
    </w:p>
    <w:p w:rsidR="00A62CC5" w:rsidRPr="00A62CC5" w:rsidRDefault="00A62CC5" w:rsidP="00A62CC5">
      <w:pPr>
        <w:numPr>
          <w:ilvl w:val="0"/>
          <w:numId w:val="5"/>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форму, вид, тему (напрям, найменування) підвищення кваліфікації та його обсяг (тривалість) в годинах або кредитах ЄКТС;</w:t>
      </w:r>
    </w:p>
    <w:p w:rsidR="00A62CC5" w:rsidRPr="00A62CC5" w:rsidRDefault="00A62CC5" w:rsidP="00A62CC5">
      <w:pPr>
        <w:numPr>
          <w:ilvl w:val="0"/>
          <w:numId w:val="5"/>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дату видачі та обліковий запис документа про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документі про підвищення кваліфікації повинні бути зазначені:</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тема (напрям, найменування), обсяг (тривалість) підвищення кваліфікації у годинах та/або кредитах ЄКТС;</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прізвище, ім’я та по батькові (у разі наявності) особи, яка підвищила кваліфікацію;</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опис досягнутих результатів навчання;</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дата видачі та обліковий запис документа;</w:t>
      </w:r>
    </w:p>
    <w:p w:rsidR="00A62CC5" w:rsidRPr="00A62CC5" w:rsidRDefault="00A62CC5" w:rsidP="00A62CC5">
      <w:pPr>
        <w:numPr>
          <w:ilvl w:val="0"/>
          <w:numId w:val="6"/>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“Про освіту”, “Про загальну середню освіту”, “Про фахову передвищу освіту” зобов’язаний щороку підвищувати кваліфікацію з урахуванням особливостей, визначених цим Порядком.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lastRenderedPageBreak/>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15. Основними напрямами підвищення кваліфікації є:</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розвиток професійних компетентностей (знання навчального предмета, фахових методик, технологій);</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формування у здобувачів освіти спільних для ключових компетентностей вмінь, визначених частиною першою статті 12 Закону України “Про освіту”;</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психолого-фізіологічні особливості здобувачів освіти певного віку, основи андрагогіки;</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мовленнєва компетентність;</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A62CC5" w:rsidRPr="00A62CC5" w:rsidRDefault="00A62CC5" w:rsidP="00A62CC5">
      <w:pPr>
        <w:numPr>
          <w:ilvl w:val="0"/>
          <w:numId w:val="7"/>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розвиток управлінської компетентності (для керівників закладів освіти, науково-методичних установ та їх заступників) тощо.</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Загальний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17.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lastRenderedPageBreak/>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разі невідповідності пропозиції педагогічного або науково-педагогічного працівника щодо обсягу підвищення кваліфікації вимогам, визначеним абзацом другим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19. План підвищення кваліфікації певного закладу освіти на відповідний рік включає: список педагогічних та /або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Особливості підвищення кваліфікації педагогічних та науково-педагогічних працівників закладів вищої та післядипломної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Результати підвищення кваліфікації не потребують визнання вченою (педагогічною) радою.</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lastRenderedPageBreak/>
        <w:t>Визнання результатів підвищення кваліфікації педагогічних і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62CC5" w:rsidRPr="00A62CC5" w:rsidRDefault="00A62CC5" w:rsidP="00A62CC5">
      <w:pPr>
        <w:numPr>
          <w:ilvl w:val="0"/>
          <w:numId w:val="8"/>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визнання результатів підвищення кваліфікації;</w:t>
      </w:r>
    </w:p>
    <w:p w:rsidR="00A62CC5" w:rsidRPr="00A62CC5" w:rsidRDefault="00A62CC5" w:rsidP="00A62CC5">
      <w:pPr>
        <w:numPr>
          <w:ilvl w:val="0"/>
          <w:numId w:val="8"/>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невизнання результатів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 xml:space="preserve">27. Участь педагогічних та науково-педагогічних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w:t>
      </w:r>
      <w:r w:rsidRPr="00A62CC5">
        <w:rPr>
          <w:rFonts w:ascii="Arial" w:eastAsia="Times New Roman" w:hAnsi="Arial" w:cs="Arial"/>
          <w:sz w:val="21"/>
          <w:szCs w:val="21"/>
          <w:lang w:val="uk-UA" w:eastAsia="ru-RU"/>
        </w:rPr>
        <w:lastRenderedPageBreak/>
        <w:t>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28. Наукове стажування науково-педагогічних працівників закладів вищої і післядипломної освіти, що здійснюється відповідно до статті 34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30.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31. Підвищення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Фінансування підвищення кваліфікації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lastRenderedPageBreak/>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A62CC5" w:rsidRPr="00A62CC5" w:rsidRDefault="00A62CC5" w:rsidP="00A62CC5">
      <w:pPr>
        <w:numPr>
          <w:ilvl w:val="0"/>
          <w:numId w:val="9"/>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педагогічних та науково-педагогічних  працівників, які працюють у таких закладах за основним місцем роботи;</w:t>
      </w:r>
    </w:p>
    <w:p w:rsidR="00A62CC5" w:rsidRPr="00A62CC5" w:rsidRDefault="00A62CC5" w:rsidP="00A62CC5">
      <w:pPr>
        <w:numPr>
          <w:ilvl w:val="0"/>
          <w:numId w:val="9"/>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34. Самостійне фінансування підвищення кваліфікації здійснюється:</w:t>
      </w:r>
    </w:p>
    <w:p w:rsidR="00A62CC5" w:rsidRPr="00A62CC5" w:rsidRDefault="00A62CC5" w:rsidP="00A62CC5">
      <w:pPr>
        <w:numPr>
          <w:ilvl w:val="0"/>
          <w:numId w:val="10"/>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A62CC5" w:rsidRPr="00A62CC5" w:rsidRDefault="00A62CC5" w:rsidP="00A62CC5">
      <w:pPr>
        <w:numPr>
          <w:ilvl w:val="0"/>
          <w:numId w:val="10"/>
        </w:numPr>
        <w:shd w:val="clear" w:color="auto" w:fill="FFFFFF"/>
        <w:spacing w:before="30" w:after="150" w:line="240" w:lineRule="auto"/>
        <w:ind w:left="0"/>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іншими особами, які працюють у закладах освіти на посадах педагогічних або науково-педагогічних працівників за суміщенням або сумісництвом.    </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Витрати, пов’язані з підвищенням кваліфікації, відшкодовуються у порядку, визначеному законодавством.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A62CC5" w:rsidRPr="00A62CC5" w:rsidRDefault="00A62CC5" w:rsidP="00A62CC5">
      <w:pPr>
        <w:shd w:val="clear" w:color="auto" w:fill="FFFFFF"/>
        <w:spacing w:line="240" w:lineRule="auto"/>
        <w:jc w:val="right"/>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ЗАТВЕРДЖЕНО</w:t>
      </w:r>
      <w:r w:rsidRPr="00A62CC5">
        <w:rPr>
          <w:rFonts w:ascii="Arial" w:eastAsia="Times New Roman" w:hAnsi="Arial" w:cs="Arial"/>
          <w:sz w:val="21"/>
          <w:szCs w:val="21"/>
          <w:lang w:val="uk-UA" w:eastAsia="ru-RU"/>
        </w:rPr>
        <w:br/>
        <w:t>постановою Кабінету Міністрів України</w:t>
      </w:r>
      <w:r w:rsidRPr="00A62CC5">
        <w:rPr>
          <w:rFonts w:ascii="Arial" w:eastAsia="Times New Roman" w:hAnsi="Arial" w:cs="Arial"/>
          <w:sz w:val="21"/>
          <w:szCs w:val="21"/>
          <w:lang w:val="uk-UA" w:eastAsia="ru-RU"/>
        </w:rPr>
        <w:br/>
        <w:t>від 21 серпня 2019 р. № 800</w:t>
      </w:r>
    </w:p>
    <w:p w:rsidR="00A62CC5" w:rsidRPr="00A62CC5" w:rsidRDefault="00A62CC5" w:rsidP="00A62CC5">
      <w:pPr>
        <w:shd w:val="clear" w:color="auto" w:fill="FFFFFF"/>
        <w:spacing w:line="240" w:lineRule="auto"/>
        <w:jc w:val="center"/>
        <w:rPr>
          <w:rFonts w:ascii="Arial" w:eastAsia="Times New Roman" w:hAnsi="Arial" w:cs="Arial"/>
          <w:sz w:val="21"/>
          <w:szCs w:val="21"/>
          <w:lang w:val="uk-UA" w:eastAsia="ru-RU"/>
        </w:rPr>
      </w:pPr>
      <w:r w:rsidRPr="00A62CC5">
        <w:rPr>
          <w:rFonts w:ascii="Arial" w:eastAsia="Times New Roman" w:hAnsi="Arial" w:cs="Arial"/>
          <w:b/>
          <w:bCs/>
          <w:sz w:val="21"/>
          <w:szCs w:val="21"/>
          <w:bdr w:val="none" w:sz="0" w:space="0" w:color="auto" w:frame="1"/>
          <w:lang w:val="uk-UA" w:eastAsia="ru-RU"/>
        </w:rPr>
        <w:t>ЗМІНИ,</w:t>
      </w:r>
      <w:r w:rsidRPr="00A62CC5">
        <w:rPr>
          <w:rFonts w:ascii="Arial" w:eastAsia="Times New Roman" w:hAnsi="Arial" w:cs="Arial"/>
          <w:b/>
          <w:bCs/>
          <w:sz w:val="21"/>
          <w:szCs w:val="21"/>
          <w:bdr w:val="none" w:sz="0" w:space="0" w:color="auto" w:frame="1"/>
          <w:lang w:val="uk-UA" w:eastAsia="ru-RU"/>
        </w:rPr>
        <w:br/>
        <w:t>що вносяться до 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1. Підпункт 4 пункту 4 викласти в такій редакції: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2. Пункт 51 викласти в такій редакції:</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“51.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A62CC5" w:rsidRPr="00A62CC5" w:rsidRDefault="00A62CC5" w:rsidP="00A62CC5">
      <w:pPr>
        <w:shd w:val="clear" w:color="auto" w:fill="FFFFFF"/>
        <w:spacing w:after="210" w:line="240" w:lineRule="auto"/>
        <w:jc w:val="both"/>
        <w:rPr>
          <w:rFonts w:ascii="Arial" w:eastAsia="Times New Roman" w:hAnsi="Arial" w:cs="Arial"/>
          <w:sz w:val="21"/>
          <w:szCs w:val="21"/>
          <w:lang w:val="uk-UA" w:eastAsia="ru-RU"/>
        </w:rPr>
      </w:pPr>
      <w:r w:rsidRPr="00A62CC5">
        <w:rPr>
          <w:rFonts w:ascii="Arial" w:eastAsia="Times New Roman" w:hAnsi="Arial" w:cs="Arial"/>
          <w:sz w:val="21"/>
          <w:szCs w:val="21"/>
          <w:lang w:val="uk-UA" w:eastAsia="ru-RU"/>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8E7C33" w:rsidRPr="00A62CC5" w:rsidRDefault="008E7C33">
      <w:pPr>
        <w:rPr>
          <w:lang w:val="uk-UA"/>
        </w:rPr>
      </w:pPr>
    </w:p>
    <w:sectPr w:rsidR="008E7C33" w:rsidRPr="00A62CC5" w:rsidSect="00A62CC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5F3"/>
    <w:multiLevelType w:val="multilevel"/>
    <w:tmpl w:val="670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202F8"/>
    <w:multiLevelType w:val="multilevel"/>
    <w:tmpl w:val="3F3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5189"/>
    <w:multiLevelType w:val="multilevel"/>
    <w:tmpl w:val="5AAC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97A6B"/>
    <w:multiLevelType w:val="multilevel"/>
    <w:tmpl w:val="6A0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77A5E"/>
    <w:multiLevelType w:val="multilevel"/>
    <w:tmpl w:val="712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B70F3"/>
    <w:multiLevelType w:val="multilevel"/>
    <w:tmpl w:val="B98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E1C34"/>
    <w:multiLevelType w:val="multilevel"/>
    <w:tmpl w:val="5BAE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A5470"/>
    <w:multiLevelType w:val="multilevel"/>
    <w:tmpl w:val="1F0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84BCF"/>
    <w:multiLevelType w:val="multilevel"/>
    <w:tmpl w:val="33E2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1533D"/>
    <w:multiLevelType w:val="multilevel"/>
    <w:tmpl w:val="0AA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BA"/>
    <w:rsid w:val="00271CBA"/>
    <w:rsid w:val="00564D39"/>
    <w:rsid w:val="008E7C33"/>
    <w:rsid w:val="00A6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C42D3-F2F6-42C7-801E-25AD1AB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4"/>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2CC5"/>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link w:val="30"/>
    <w:uiPriority w:val="9"/>
    <w:qFormat/>
    <w:rsid w:val="00A62CC5"/>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2CC5"/>
    <w:pPr>
      <w:spacing w:before="100" w:beforeAutospacing="1" w:after="100" w:afterAutospacing="1" w:line="240" w:lineRule="auto"/>
    </w:pPr>
    <w:rPr>
      <w:rFonts w:eastAsia="Times New Roman"/>
      <w:color w:val="auto"/>
      <w:sz w:val="24"/>
      <w:lang w:eastAsia="ru-RU"/>
    </w:rPr>
  </w:style>
  <w:style w:type="paragraph" w:customStyle="1" w:styleId="rvps17">
    <w:name w:val="rvps17"/>
    <w:basedOn w:val="a"/>
    <w:rsid w:val="00A62CC5"/>
    <w:pPr>
      <w:spacing w:before="100" w:beforeAutospacing="1" w:after="100" w:afterAutospacing="1" w:line="240" w:lineRule="auto"/>
    </w:pPr>
    <w:rPr>
      <w:rFonts w:eastAsia="Times New Roman"/>
      <w:color w:val="auto"/>
      <w:sz w:val="24"/>
      <w:lang w:eastAsia="ru-RU"/>
    </w:rPr>
  </w:style>
  <w:style w:type="character" w:customStyle="1" w:styleId="rvts23">
    <w:name w:val="rvts23"/>
    <w:basedOn w:val="a0"/>
    <w:rsid w:val="00A62CC5"/>
  </w:style>
  <w:style w:type="character" w:customStyle="1" w:styleId="rvts64">
    <w:name w:val="rvts64"/>
    <w:basedOn w:val="a0"/>
    <w:rsid w:val="00A62CC5"/>
  </w:style>
  <w:style w:type="character" w:customStyle="1" w:styleId="rvts9">
    <w:name w:val="rvts9"/>
    <w:basedOn w:val="a0"/>
    <w:rsid w:val="00A62CC5"/>
  </w:style>
  <w:style w:type="paragraph" w:customStyle="1" w:styleId="rvps6">
    <w:name w:val="rvps6"/>
    <w:basedOn w:val="a"/>
    <w:rsid w:val="00A62CC5"/>
    <w:pPr>
      <w:spacing w:before="100" w:beforeAutospacing="1" w:after="100" w:afterAutospacing="1" w:line="240" w:lineRule="auto"/>
    </w:pPr>
    <w:rPr>
      <w:rFonts w:eastAsia="Times New Roman"/>
      <w:color w:val="auto"/>
      <w:sz w:val="24"/>
      <w:lang w:eastAsia="ru-RU"/>
    </w:rPr>
  </w:style>
  <w:style w:type="paragraph" w:customStyle="1" w:styleId="rvps18">
    <w:name w:val="rvps18"/>
    <w:basedOn w:val="a"/>
    <w:rsid w:val="00A62CC5"/>
    <w:pPr>
      <w:spacing w:before="100" w:beforeAutospacing="1" w:after="100" w:afterAutospacing="1" w:line="240" w:lineRule="auto"/>
    </w:pPr>
    <w:rPr>
      <w:rFonts w:eastAsia="Times New Roman"/>
      <w:color w:val="auto"/>
      <w:sz w:val="24"/>
      <w:lang w:eastAsia="ru-RU"/>
    </w:rPr>
  </w:style>
  <w:style w:type="character" w:styleId="a3">
    <w:name w:val="Hyperlink"/>
    <w:basedOn w:val="a0"/>
    <w:uiPriority w:val="99"/>
    <w:semiHidden/>
    <w:unhideWhenUsed/>
    <w:rsid w:val="00A62CC5"/>
    <w:rPr>
      <w:color w:val="0000FF"/>
      <w:u w:val="single"/>
    </w:rPr>
  </w:style>
  <w:style w:type="paragraph" w:customStyle="1" w:styleId="rvps2">
    <w:name w:val="rvps2"/>
    <w:basedOn w:val="a"/>
    <w:rsid w:val="00A62CC5"/>
    <w:pPr>
      <w:spacing w:before="100" w:beforeAutospacing="1" w:after="100" w:afterAutospacing="1" w:line="240" w:lineRule="auto"/>
    </w:pPr>
    <w:rPr>
      <w:rFonts w:eastAsia="Times New Roman"/>
      <w:color w:val="auto"/>
      <w:sz w:val="24"/>
      <w:lang w:eastAsia="ru-RU"/>
    </w:rPr>
  </w:style>
  <w:style w:type="character" w:customStyle="1" w:styleId="rvts52">
    <w:name w:val="rvts52"/>
    <w:basedOn w:val="a0"/>
    <w:rsid w:val="00A62CC5"/>
  </w:style>
  <w:style w:type="paragraph" w:customStyle="1" w:styleId="rvps4">
    <w:name w:val="rvps4"/>
    <w:basedOn w:val="a"/>
    <w:rsid w:val="00A62CC5"/>
    <w:pPr>
      <w:spacing w:before="100" w:beforeAutospacing="1" w:after="100" w:afterAutospacing="1" w:line="240" w:lineRule="auto"/>
    </w:pPr>
    <w:rPr>
      <w:rFonts w:eastAsia="Times New Roman"/>
      <w:color w:val="auto"/>
      <w:sz w:val="24"/>
      <w:lang w:eastAsia="ru-RU"/>
    </w:rPr>
  </w:style>
  <w:style w:type="character" w:customStyle="1" w:styleId="rvts44">
    <w:name w:val="rvts44"/>
    <w:basedOn w:val="a0"/>
    <w:rsid w:val="00A62CC5"/>
  </w:style>
  <w:style w:type="paragraph" w:customStyle="1" w:styleId="rvps15">
    <w:name w:val="rvps15"/>
    <w:basedOn w:val="a"/>
    <w:rsid w:val="00A62CC5"/>
    <w:pPr>
      <w:spacing w:before="100" w:beforeAutospacing="1" w:after="100" w:afterAutospacing="1" w:line="240" w:lineRule="auto"/>
    </w:pPr>
    <w:rPr>
      <w:rFonts w:eastAsia="Times New Roman"/>
      <w:color w:val="auto"/>
      <w:sz w:val="24"/>
      <w:lang w:eastAsia="ru-RU"/>
    </w:rPr>
  </w:style>
  <w:style w:type="paragraph" w:customStyle="1" w:styleId="rvps14">
    <w:name w:val="rvps14"/>
    <w:basedOn w:val="a"/>
    <w:rsid w:val="00A62CC5"/>
    <w:pPr>
      <w:spacing w:before="100" w:beforeAutospacing="1" w:after="100" w:afterAutospacing="1" w:line="240" w:lineRule="auto"/>
    </w:pPr>
    <w:rPr>
      <w:rFonts w:eastAsia="Times New Roman"/>
      <w:color w:val="auto"/>
      <w:sz w:val="24"/>
      <w:lang w:eastAsia="ru-RU"/>
    </w:rPr>
  </w:style>
  <w:style w:type="paragraph" w:customStyle="1" w:styleId="rvps12">
    <w:name w:val="rvps12"/>
    <w:basedOn w:val="a"/>
    <w:rsid w:val="00A62CC5"/>
    <w:pPr>
      <w:spacing w:before="100" w:beforeAutospacing="1" w:after="100" w:afterAutospacing="1" w:line="240" w:lineRule="auto"/>
    </w:pPr>
    <w:rPr>
      <w:rFonts w:eastAsia="Times New Roman"/>
      <w:color w:val="auto"/>
      <w:sz w:val="24"/>
      <w:lang w:eastAsia="ru-RU"/>
    </w:rPr>
  </w:style>
  <w:style w:type="character" w:customStyle="1" w:styleId="rvts15">
    <w:name w:val="rvts15"/>
    <w:basedOn w:val="a0"/>
    <w:rsid w:val="00A62CC5"/>
  </w:style>
  <w:style w:type="character" w:customStyle="1" w:styleId="rvts11">
    <w:name w:val="rvts11"/>
    <w:basedOn w:val="a0"/>
    <w:rsid w:val="00A62CC5"/>
  </w:style>
  <w:style w:type="character" w:customStyle="1" w:styleId="rvts46">
    <w:name w:val="rvts46"/>
    <w:basedOn w:val="a0"/>
    <w:rsid w:val="00A62CC5"/>
  </w:style>
  <w:style w:type="character" w:customStyle="1" w:styleId="rvts37">
    <w:name w:val="rvts37"/>
    <w:basedOn w:val="a0"/>
    <w:rsid w:val="00A62CC5"/>
  </w:style>
  <w:style w:type="character" w:customStyle="1" w:styleId="10">
    <w:name w:val="Заголовок 1 Знак"/>
    <w:basedOn w:val="a0"/>
    <w:link w:val="1"/>
    <w:uiPriority w:val="9"/>
    <w:rsid w:val="00A62CC5"/>
    <w:rPr>
      <w:rFonts w:eastAsia="Times New Roman"/>
      <w:b/>
      <w:bCs/>
      <w:color w:val="auto"/>
      <w:kern w:val="36"/>
      <w:sz w:val="48"/>
      <w:szCs w:val="48"/>
      <w:lang w:eastAsia="ru-RU"/>
    </w:rPr>
  </w:style>
  <w:style w:type="character" w:customStyle="1" w:styleId="30">
    <w:name w:val="Заголовок 3 Знак"/>
    <w:basedOn w:val="a0"/>
    <w:link w:val="3"/>
    <w:uiPriority w:val="9"/>
    <w:rsid w:val="00A62CC5"/>
    <w:rPr>
      <w:rFonts w:eastAsia="Times New Roman"/>
      <w:b/>
      <w:bCs/>
      <w:color w:val="auto"/>
      <w:sz w:val="27"/>
      <w:szCs w:val="27"/>
      <w:lang w:eastAsia="ru-RU"/>
    </w:rPr>
  </w:style>
  <w:style w:type="paragraph" w:styleId="a4">
    <w:name w:val="Normal (Web)"/>
    <w:basedOn w:val="a"/>
    <w:uiPriority w:val="99"/>
    <w:semiHidden/>
    <w:unhideWhenUsed/>
    <w:rsid w:val="00A62CC5"/>
    <w:pPr>
      <w:spacing w:before="100" w:beforeAutospacing="1" w:after="100" w:afterAutospacing="1" w:line="240" w:lineRule="auto"/>
    </w:pPr>
    <w:rPr>
      <w:rFonts w:eastAsia="Times New Roman"/>
      <w:color w:val="auto"/>
      <w:sz w:val="24"/>
      <w:lang w:eastAsia="ru-RU"/>
    </w:rPr>
  </w:style>
  <w:style w:type="character" w:styleId="a5">
    <w:name w:val="Strong"/>
    <w:basedOn w:val="a0"/>
    <w:uiPriority w:val="22"/>
    <w:qFormat/>
    <w:rsid w:val="00A62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7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9489">
          <w:marLeft w:val="0"/>
          <w:marRight w:val="0"/>
          <w:marTop w:val="0"/>
          <w:marBottom w:val="150"/>
          <w:divBdr>
            <w:top w:val="none" w:sz="0" w:space="0" w:color="auto"/>
            <w:left w:val="none" w:sz="0" w:space="0" w:color="auto"/>
            <w:bottom w:val="none" w:sz="0" w:space="0" w:color="auto"/>
            <w:right w:val="none" w:sz="0" w:space="0" w:color="auto"/>
          </w:divBdr>
        </w:div>
        <w:div w:id="2105153563">
          <w:marLeft w:val="0"/>
          <w:marRight w:val="0"/>
          <w:marTop w:val="0"/>
          <w:marBottom w:val="150"/>
          <w:divBdr>
            <w:top w:val="none" w:sz="0" w:space="0" w:color="auto"/>
            <w:left w:val="none" w:sz="0" w:space="0" w:color="auto"/>
            <w:bottom w:val="none" w:sz="0" w:space="0" w:color="auto"/>
            <w:right w:val="none" w:sz="0" w:space="0" w:color="auto"/>
          </w:divBdr>
        </w:div>
        <w:div w:id="2068332231">
          <w:marLeft w:val="0"/>
          <w:marRight w:val="0"/>
          <w:marTop w:val="0"/>
          <w:marBottom w:val="150"/>
          <w:divBdr>
            <w:top w:val="none" w:sz="0" w:space="0" w:color="auto"/>
            <w:left w:val="none" w:sz="0" w:space="0" w:color="auto"/>
            <w:bottom w:val="none" w:sz="0" w:space="0" w:color="auto"/>
            <w:right w:val="none" w:sz="0" w:space="0" w:color="auto"/>
          </w:divBdr>
        </w:div>
        <w:div w:id="1151561190">
          <w:marLeft w:val="0"/>
          <w:marRight w:val="0"/>
          <w:marTop w:val="0"/>
          <w:marBottom w:val="150"/>
          <w:divBdr>
            <w:top w:val="none" w:sz="0" w:space="0" w:color="auto"/>
            <w:left w:val="none" w:sz="0" w:space="0" w:color="auto"/>
            <w:bottom w:val="none" w:sz="0" w:space="0" w:color="auto"/>
            <w:right w:val="none" w:sz="0" w:space="0" w:color="auto"/>
          </w:divBdr>
        </w:div>
      </w:divsChild>
    </w:div>
    <w:div w:id="17852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law/22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4961</Words>
  <Characters>28281</Characters>
  <Application>Microsoft Office Word</Application>
  <DocSecurity>0</DocSecurity>
  <Lines>235</Lines>
  <Paragraphs>66</Paragraphs>
  <ScaleCrop>false</ScaleCrop>
  <Company>SPecialiST RePack</Company>
  <LinksUpToDate>false</LinksUpToDate>
  <CharactersWithSpaces>33176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WORKPC</cp:lastModifiedBy>
  <cp:revision>3</cp:revision>
  <dcterms:created xsi:type="dcterms:W3CDTF">2021-01-28T08:45:00Z</dcterms:created>
  <dcterms:modified xsi:type="dcterms:W3CDTF">2021-01-28T08:49:00Z</dcterms:modified>
</cp:coreProperties>
</file>